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95" w:rsidRDefault="004E6E95" w:rsidP="004E6E95">
      <w:pPr>
        <w:spacing w:after="0" w:line="360" w:lineRule="auto"/>
        <w:jc w:val="center"/>
        <w:outlineLvl w:val="0"/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</w:pPr>
      <w:proofErr w:type="spellStart"/>
      <w:r w:rsidRPr="004E6E95"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  <w:t>Допомога</w:t>
      </w:r>
      <w:proofErr w:type="spellEnd"/>
      <w:r w:rsidRPr="004E6E95"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  <w:t>дітей</w:t>
      </w:r>
      <w:proofErr w:type="spellEnd"/>
      <w:r w:rsidRPr="004E6E95"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  <w:t xml:space="preserve"> одиноким матерям: </w:t>
      </w:r>
    </w:p>
    <w:p w:rsidR="004E6E95" w:rsidRDefault="004E6E95" w:rsidP="004E6E95">
      <w:pPr>
        <w:spacing w:after="0" w:line="360" w:lineRule="auto"/>
        <w:jc w:val="center"/>
        <w:outlineLvl w:val="0"/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</w:pPr>
      <w:proofErr w:type="spellStart"/>
      <w:r w:rsidRPr="004E6E95"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  <w:t>що</w:t>
      </w:r>
      <w:proofErr w:type="spellEnd"/>
      <w:r w:rsidRPr="004E6E95"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  <w:t>варто</w:t>
      </w:r>
      <w:proofErr w:type="spellEnd"/>
      <w:r w:rsidRPr="004E6E95"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  <w:t xml:space="preserve"> знати в 2021 </w:t>
      </w:r>
      <w:proofErr w:type="spellStart"/>
      <w:r w:rsidRPr="004E6E95">
        <w:rPr>
          <w:rFonts w:eastAsia="Times New Roman" w:cs="Times New Roman"/>
          <w:b/>
          <w:bCs/>
          <w:spacing w:val="-2"/>
          <w:kern w:val="36"/>
          <w:sz w:val="36"/>
          <w:szCs w:val="36"/>
          <w:u w:val="single"/>
          <w:lang w:eastAsia="ru-RU"/>
        </w:rPr>
        <w:t>році</w:t>
      </w:r>
      <w:proofErr w:type="spellEnd"/>
    </w:p>
    <w:p w:rsidR="004E6E95" w:rsidRPr="004E6E95" w:rsidRDefault="004E6E95" w:rsidP="004E6E95">
      <w:pPr>
        <w:spacing w:after="0" w:line="360" w:lineRule="auto"/>
        <w:jc w:val="center"/>
        <w:outlineLvl w:val="0"/>
        <w:rPr>
          <w:rFonts w:eastAsia="Times New Roman" w:cs="Times New Roman"/>
          <w:b/>
          <w:bCs/>
          <w:spacing w:val="-2"/>
          <w:kern w:val="36"/>
          <w:sz w:val="36"/>
          <w:szCs w:val="36"/>
          <w:lang w:eastAsia="ru-RU"/>
        </w:rPr>
      </w:pP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Останнім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часом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дуже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багато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питань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виникає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навколо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виплати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дітей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одиноким матерям. 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Це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більшості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пов’язано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із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значним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реформуванням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цієї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яку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наразі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здійснює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уряд.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Допомога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дітей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одиноким матерям, яку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призначено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умовами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діяли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 30 червня 2020 р. (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включно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виплачується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закінчення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строку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її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призначення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>.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З 1 липня 2020 р.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допомога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дітей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одиноким матерям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призначається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новими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умовами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Допомога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дітей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одиноким матерям </w:t>
      </w:r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призначається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якщо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: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6E95">
        <w:rPr>
          <w:rFonts w:eastAsia="Times New Roman" w:cs="Times New Roman"/>
          <w:sz w:val="28"/>
          <w:szCs w:val="28"/>
          <w:lang w:eastAsia="ru-RU"/>
        </w:rPr>
        <w:t xml:space="preserve">1) 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складі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сім’ї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працездатні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особи,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досягли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18-річного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станом на початок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періоду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який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враховуються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доходи, </w:t>
      </w:r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та не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працювали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,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 не проходили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військової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служби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провадили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підприємницької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чи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професійної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незалежної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діяльності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здобували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за денною формою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здобуття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в закладах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загальної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середньої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професійної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професійно-технічної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фахової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передвищої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вищої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освіти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>, </w:t>
      </w:r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зареєстровані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центрі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зайнятості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як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безробітні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як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такі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шукають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роботу,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сумарно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більше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ніж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три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місяці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протягом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періоду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за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який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враховуються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доходи</w:t>
      </w:r>
      <w:r w:rsidRPr="004E6E95">
        <w:rPr>
          <w:rFonts w:eastAsia="Times New Roman" w:cs="Times New Roman"/>
          <w:sz w:val="28"/>
          <w:szCs w:val="28"/>
          <w:lang w:eastAsia="ru-RU"/>
        </w:rPr>
        <w:t> (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крім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випадків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передбачених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в абзацах десятому ―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чотирнадцятому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цього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пункту).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Допомога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дітей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одиноким матерям 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зазначеному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випадку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якщо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протягом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періоду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який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враховуються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доходи: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сплатили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за них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сплачено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єдиний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внесок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загальнообов’язкове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державне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соціальне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страхування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розмірі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меншому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мінімального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сумарно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протягом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трьох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місяців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доглядали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дітьми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досягнення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трирічного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дітьми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потребують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догляду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протягом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часу,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визначеного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медичному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висновку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лікарсько-консультативної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комісії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але 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більше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ніж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досягнення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шестирічного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дітьми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хворими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тяжкі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перинатальні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ураження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lastRenderedPageBreak/>
        <w:t>нервової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системи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тяжкі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вроджені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вади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розвитку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рідкісні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орфанні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захворювання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онкологічні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онкогематологічні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захворювання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дитячий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церебральний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параліч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тяжкі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психічні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розлади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цукровий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діабет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I типу (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інсулінозалежний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гострі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хронічні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захворювання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нирок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IV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ступеня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дітьми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отримали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тяжку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травму,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потребують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трансплантації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органа,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потребують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паліативної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яким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встановлено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інвалідності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за особою з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інвалідністю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групи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за особою з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інвалідністю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ІІ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групи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внаслідок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психічного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розладу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дитиною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інвалідністю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віком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 18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років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також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за особами,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досягли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80-річного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; надавали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соціальні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послуги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 догляду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відповідно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>;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6E95">
        <w:rPr>
          <w:rFonts w:eastAsia="Times New Roman" w:cs="Times New Roman"/>
          <w:sz w:val="28"/>
          <w:szCs w:val="28"/>
          <w:lang w:eastAsia="ru-RU"/>
        </w:rPr>
        <w:t xml:space="preserve">2) особи,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входять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 складу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сім’ї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протягом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місяців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перед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зверненням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призначенням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дітей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одиноким матерям, 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здійснили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купівлю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земельної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ділянки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квартири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будинку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), транспортного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засобу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механізму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),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будівельних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матеріалів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інших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товарів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довгострокового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вжитку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оплатили (одноразово) будь-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які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послуги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крім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медичних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освітніх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житлово-комунальних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згідно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із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соціальною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нормою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житла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соціальними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нормативами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житлово-комунального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обслуговування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) на суму, яка на дату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купівлі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оплати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перевищує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50 тис.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гривень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;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6E95">
        <w:rPr>
          <w:rFonts w:eastAsia="Times New Roman" w:cs="Times New Roman"/>
          <w:sz w:val="28"/>
          <w:szCs w:val="28"/>
          <w:lang w:eastAsia="ru-RU"/>
        </w:rPr>
        <w:t>3)</w:t>
      </w:r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 у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власності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сім’ї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є друга квартира (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будинок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),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крім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житла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яке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розташоване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тимчасово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окупованій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території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Донецькій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Луганській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областях,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Автономній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Республі</w:t>
      </w:r>
      <w:r w:rsidRPr="004E6E95">
        <w:rPr>
          <w:rFonts w:eastAsia="Times New Roman" w:cs="Times New Roman"/>
          <w:sz w:val="28"/>
          <w:szCs w:val="28"/>
          <w:lang w:eastAsia="ru-RU"/>
        </w:rPr>
        <w:t>ці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Крим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і м.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Севастополі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населених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пунктах,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території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органи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державної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влади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тимчасово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здійснюють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своїх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повноважень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та 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населених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пунктах,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розташовані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лінії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зіткнення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житла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непридатного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проживання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що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підтверджено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актом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обстеження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технічного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стану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житлового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приміщення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будинку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квартири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), за формою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згідно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додатком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  до Порядку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надання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щомісячної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адресної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внутрішньо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переміщеним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особам для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покриття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витрат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проживання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в тому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числі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оплату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житлово-комунальних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послуг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затвердженого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постановою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Кабінету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Міністрів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України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від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жовтня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2014 р. № 505;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6E95">
        <w:rPr>
          <w:rFonts w:eastAsia="Times New Roman" w:cs="Times New Roman"/>
          <w:sz w:val="28"/>
          <w:szCs w:val="28"/>
          <w:lang w:eastAsia="ru-RU"/>
        </w:rPr>
        <w:lastRenderedPageBreak/>
        <w:t>4) </w:t>
      </w:r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власності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сім’ї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є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більше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ніж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один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автомобіль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транспортний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засіб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що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підлягає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державній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реєстрації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, з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дати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випуску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якого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минуло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менше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ніж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15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років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крім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мопеда і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причепа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>).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6E95">
        <w:rPr>
          <w:rFonts w:eastAsia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цьому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враховуються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транспортні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засоби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отримані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безоплатно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чи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придбані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пільгових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умовах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органи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соціального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захисту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населення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числі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рахунок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грошової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придбання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автомобіля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також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транспортні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засоби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придбані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батьками ―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вихователями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дитячих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будинків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сімейного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типу.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Наявність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відсутність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) у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власності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членів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сім</w:t>
      </w:r>
      <w:r w:rsidRPr="004E6E95">
        <w:rPr>
          <w:rFonts w:eastAsia="Times New Roman" w:cs="Arial"/>
          <w:b/>
          <w:bCs/>
          <w:sz w:val="28"/>
          <w:szCs w:val="28"/>
          <w:lang w:eastAsia="ru-RU"/>
        </w:rPr>
        <w:t>ʼ</w:t>
      </w:r>
      <w:r w:rsidRPr="004E6E95">
        <w:rPr>
          <w:rFonts w:eastAsia="Times New Roman" w:cs="Verdana"/>
          <w:b/>
          <w:bCs/>
          <w:sz w:val="28"/>
          <w:szCs w:val="28"/>
          <w:lang w:eastAsia="ru-RU"/>
        </w:rPr>
        <w:t>ї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b/>
          <w:bCs/>
          <w:sz w:val="28"/>
          <w:szCs w:val="28"/>
          <w:lang w:eastAsia="ru-RU"/>
        </w:rPr>
        <w:t>транспортних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b/>
          <w:bCs/>
          <w:sz w:val="28"/>
          <w:szCs w:val="28"/>
          <w:lang w:eastAsia="ru-RU"/>
        </w:rPr>
        <w:t>засобів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b/>
          <w:bCs/>
          <w:sz w:val="28"/>
          <w:szCs w:val="28"/>
          <w:lang w:eastAsia="ru-RU"/>
        </w:rPr>
        <w:t>зазначається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4E6E95">
        <w:rPr>
          <w:rFonts w:eastAsia="Times New Roman" w:cs="Verdana"/>
          <w:b/>
          <w:bCs/>
          <w:sz w:val="28"/>
          <w:szCs w:val="28"/>
          <w:lang w:eastAsia="ru-RU"/>
        </w:rPr>
        <w:t>у</w:t>
      </w:r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b/>
          <w:bCs/>
          <w:sz w:val="28"/>
          <w:szCs w:val="28"/>
          <w:lang w:eastAsia="ru-RU"/>
        </w:rPr>
        <w:t>декларації</w:t>
      </w:r>
      <w:proofErr w:type="spellEnd"/>
      <w:r w:rsidRPr="004E6E95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Якщо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складі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сім</w:t>
      </w:r>
      <w:r w:rsidRPr="004E6E95">
        <w:rPr>
          <w:rFonts w:eastAsia="Times New Roman" w:cs="Arial"/>
          <w:sz w:val="28"/>
          <w:szCs w:val="28"/>
          <w:lang w:eastAsia="ru-RU"/>
        </w:rPr>
        <w:t>ʼ</w:t>
      </w:r>
      <w:r w:rsidRPr="004E6E95">
        <w:rPr>
          <w:rFonts w:eastAsia="Times New Roman" w:cs="Verdana"/>
          <w:sz w:val="28"/>
          <w:szCs w:val="28"/>
          <w:lang w:eastAsia="ru-RU"/>
        </w:rPr>
        <w:t>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6E95">
        <w:rPr>
          <w:rFonts w:eastAsia="Times New Roman" w:cs="Verdana"/>
          <w:sz w:val="28"/>
          <w:szCs w:val="28"/>
          <w:lang w:eastAsia="ru-RU"/>
        </w:rPr>
        <w:t>є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непрацюючі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працездатні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6E95">
        <w:rPr>
          <w:rFonts w:eastAsia="Times New Roman" w:cs="Verdana"/>
          <w:sz w:val="28"/>
          <w:szCs w:val="28"/>
          <w:lang w:eastAsia="ru-RU"/>
        </w:rPr>
        <w:t>особи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які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досягли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18-</w:t>
      </w:r>
      <w:r w:rsidRPr="004E6E95">
        <w:rPr>
          <w:rFonts w:eastAsia="Times New Roman" w:cs="Verdana"/>
          <w:sz w:val="28"/>
          <w:szCs w:val="28"/>
          <w:lang w:eastAsia="ru-RU"/>
        </w:rPr>
        <w:t>річного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віку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6E95">
        <w:rPr>
          <w:rFonts w:eastAsia="Times New Roman" w:cs="Verdana"/>
          <w:sz w:val="28"/>
          <w:szCs w:val="28"/>
          <w:lang w:eastAsia="ru-RU"/>
        </w:rPr>
        <w:t>станом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6E95">
        <w:rPr>
          <w:rFonts w:eastAsia="Times New Roman" w:cs="Verdana"/>
          <w:sz w:val="28"/>
          <w:szCs w:val="28"/>
          <w:lang w:eastAsia="ru-RU"/>
        </w:rPr>
        <w:t>на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6E95">
        <w:rPr>
          <w:rFonts w:eastAsia="Times New Roman" w:cs="Verdana"/>
          <w:sz w:val="28"/>
          <w:szCs w:val="28"/>
          <w:lang w:eastAsia="ru-RU"/>
        </w:rPr>
        <w:t>початок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періоду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4E6E95">
        <w:rPr>
          <w:rFonts w:eastAsia="Times New Roman" w:cs="Verdana"/>
          <w:sz w:val="28"/>
          <w:szCs w:val="28"/>
          <w:lang w:eastAsia="ru-RU"/>
        </w:rPr>
        <w:t>за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який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враховуються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6E95">
        <w:rPr>
          <w:rFonts w:eastAsia="Times New Roman" w:cs="Verdana"/>
          <w:sz w:val="28"/>
          <w:szCs w:val="28"/>
          <w:lang w:eastAsia="ru-RU"/>
        </w:rPr>
        <w:t>доходи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4E6E95">
        <w:rPr>
          <w:rFonts w:eastAsia="Times New Roman" w:cs="Verdana"/>
          <w:sz w:val="28"/>
          <w:szCs w:val="28"/>
          <w:lang w:eastAsia="ru-RU"/>
        </w:rPr>
        <w:t>і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протягом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цього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періоду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зареєстровані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6E95">
        <w:rPr>
          <w:rFonts w:eastAsia="Times New Roman" w:cs="Verdana"/>
          <w:sz w:val="28"/>
          <w:szCs w:val="28"/>
          <w:lang w:eastAsia="ru-RU"/>
        </w:rPr>
        <w:t>в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центрі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зайнятості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E6E95">
        <w:rPr>
          <w:rFonts w:eastAsia="Times New Roman" w:cs="Verdana"/>
          <w:sz w:val="28"/>
          <w:szCs w:val="28"/>
          <w:lang w:eastAsia="ru-RU"/>
        </w:rPr>
        <w:t>як</w:t>
      </w:r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Verdana"/>
          <w:sz w:val="28"/>
          <w:szCs w:val="28"/>
          <w:lang w:eastAsia="ru-RU"/>
        </w:rPr>
        <w:t>без</w:t>
      </w:r>
      <w:r w:rsidRPr="004E6E95">
        <w:rPr>
          <w:rFonts w:eastAsia="Times New Roman" w:cs="Times New Roman"/>
          <w:sz w:val="28"/>
          <w:szCs w:val="28"/>
          <w:lang w:eastAsia="ru-RU"/>
        </w:rPr>
        <w:t>робітні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менше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трьох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місяців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(за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) 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сплатили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(не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сплачено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мінімального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розміру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єдиного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внеску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загальнообов’язкове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державне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соціальне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страхування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сумарно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протягом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трьох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місяців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періоду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за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який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враховуються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доходи,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допомога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дітей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одиноким матерям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призначається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>: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6E95">
        <w:rPr>
          <w:rFonts w:eastAsia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більше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ніж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на два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шестимісячних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періоди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якщо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>: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6E95">
        <w:rPr>
          <w:rFonts w:eastAsia="Times New Roman" w:cs="Times New Roman"/>
          <w:sz w:val="28"/>
          <w:szCs w:val="28"/>
          <w:lang w:eastAsia="ru-RU"/>
        </w:rPr>
        <w:t xml:space="preserve">— у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складі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сім’ї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є особа з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інвалідністю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згідно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висновком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лікарсько-консультаційної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комісії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потребує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постійного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стороннього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догляду;</w:t>
      </w:r>
    </w:p>
    <w:p w:rsid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E6E95">
        <w:rPr>
          <w:rFonts w:eastAsia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відсутність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яких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джерел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існування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пов’язана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тривалою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хворобою одного та/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або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кількох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членів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сім’ї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>.</w:t>
      </w:r>
    </w:p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Більш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4E6E95">
        <w:rPr>
          <w:rFonts w:eastAsia="Times New Roman" w:cs="Times New Roman"/>
          <w:sz w:val="28"/>
          <w:szCs w:val="28"/>
          <w:lang w:eastAsia="ru-RU"/>
        </w:rPr>
        <w:t xml:space="preserve">детально 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із</w:t>
      </w:r>
      <w:proofErr w:type="spellEnd"/>
      <w:proofErr w:type="gram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процедурою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отримання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цієї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допомоги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можна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6E95">
        <w:rPr>
          <w:rFonts w:eastAsia="Times New Roman" w:cs="Times New Roman"/>
          <w:sz w:val="28"/>
          <w:szCs w:val="28"/>
          <w:lang w:eastAsia="ru-RU"/>
        </w:rPr>
        <w:t>ознайомитися</w:t>
      </w:r>
      <w:proofErr w:type="spellEnd"/>
      <w:r w:rsidRPr="004E6E95">
        <w:rPr>
          <w:rFonts w:eastAsia="Times New Roman" w:cs="Times New Roman"/>
          <w:sz w:val="28"/>
          <w:szCs w:val="28"/>
          <w:lang w:eastAsia="ru-RU"/>
        </w:rPr>
        <w:t xml:space="preserve"> тут: </w:t>
      </w:r>
    </w:p>
    <w:bookmarkStart w:id="0" w:name="_GoBack"/>
    <w:bookmarkEnd w:id="0"/>
    <w:p w:rsidR="004E6E95" w:rsidRPr="004E6E95" w:rsidRDefault="004E6E95" w:rsidP="004E6E95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u w:val="single"/>
          <w:lang w:eastAsia="ru-RU"/>
        </w:rPr>
        <w:fldChar w:fldCharType="begin"/>
      </w:r>
      <w:r>
        <w:rPr>
          <w:rFonts w:eastAsia="Times New Roman" w:cs="Times New Roman"/>
          <w:sz w:val="28"/>
          <w:szCs w:val="28"/>
          <w:u w:val="single"/>
          <w:lang w:eastAsia="ru-RU"/>
        </w:rPr>
        <w:instrText xml:space="preserve"> HYPERLINK "</w:instrText>
      </w:r>
      <w:r w:rsidRPr="004E6E95">
        <w:rPr>
          <w:rFonts w:eastAsia="Times New Roman" w:cs="Times New Roman"/>
          <w:sz w:val="28"/>
          <w:szCs w:val="28"/>
          <w:u w:val="single"/>
          <w:lang w:eastAsia="ru-RU"/>
        </w:rPr>
        <w:instrText>http://www.i-law.kiev.ua/%D0%B4%D0%BE%D0%BF%D0%BE%D0%BC%D0%BE%D0%B3%D0%B0-%D0%BD%D0%B0-%D0%B4%D1%96%D1%82%D0%B5%D0%B9-%D0%BE%D0%B4%D0%B8%D0%BD%D0%BE%D0%BA%D0%B8%D0%BC-%D0%BC%D0%B0%D1%82%D0%B5%D1%80%D1%8F%D0%BC-2016/</w:instrText>
      </w:r>
      <w:r>
        <w:rPr>
          <w:rFonts w:eastAsia="Times New Roman" w:cs="Times New Roman"/>
          <w:sz w:val="28"/>
          <w:szCs w:val="28"/>
          <w:u w:val="single"/>
          <w:lang w:eastAsia="ru-RU"/>
        </w:rPr>
        <w:instrText xml:space="preserve">" </w:instrText>
      </w:r>
      <w:r>
        <w:rPr>
          <w:rFonts w:eastAsia="Times New Roman" w:cs="Times New Roman"/>
          <w:sz w:val="28"/>
          <w:szCs w:val="28"/>
          <w:u w:val="single"/>
          <w:lang w:eastAsia="ru-RU"/>
        </w:rPr>
        <w:fldChar w:fldCharType="separate"/>
      </w:r>
      <w:r w:rsidRPr="004E6E95">
        <w:rPr>
          <w:rStyle w:val="a3"/>
          <w:rFonts w:eastAsia="Times New Roman" w:cs="Times New Roman"/>
          <w:sz w:val="28"/>
          <w:szCs w:val="28"/>
          <w:lang w:eastAsia="ru-RU"/>
        </w:rPr>
        <w:t>http://www.i-law.kiev.ua/%D0%B4%D0%BE%D0%BF%D0%BE%D0%BC%D0%BE%D0%B3%D0%B0-%D0%BD%D0%B0-%D0%B4%D1%96%D1%82%D0%B5%D0%B9-%D0%BE%D0%B4%D0%B8%D0%BD%D0%BE%D0%BA%D0%B8%D0%BC-%D0%BC%D0%B0%D1%82%D0%B5%D1%80%D1%8F%D0%BC-2016/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fldChar w:fldCharType="end"/>
      </w:r>
      <w:r w:rsidRPr="004E6E95">
        <w:rPr>
          <w:rFonts w:eastAsia="Times New Roman" w:cs="Times New Roman"/>
          <w:sz w:val="28"/>
          <w:szCs w:val="28"/>
          <w:lang w:eastAsia="ru-RU"/>
        </w:rPr>
        <w:t>.</w:t>
      </w:r>
    </w:p>
    <w:sectPr w:rsidR="004E6E95" w:rsidRPr="004E6E95" w:rsidSect="004E6E9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7B9"/>
    <w:multiLevelType w:val="multilevel"/>
    <w:tmpl w:val="7B14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36B0D"/>
    <w:multiLevelType w:val="multilevel"/>
    <w:tmpl w:val="1D1E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64178"/>
    <w:multiLevelType w:val="multilevel"/>
    <w:tmpl w:val="CA76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CC4E44"/>
    <w:multiLevelType w:val="multilevel"/>
    <w:tmpl w:val="AB52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84912"/>
    <w:multiLevelType w:val="multilevel"/>
    <w:tmpl w:val="DCCE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C1873"/>
    <w:multiLevelType w:val="multilevel"/>
    <w:tmpl w:val="67D4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335058"/>
    <w:multiLevelType w:val="multilevel"/>
    <w:tmpl w:val="1D18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53BD3"/>
    <w:multiLevelType w:val="multilevel"/>
    <w:tmpl w:val="BB20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E773A"/>
    <w:multiLevelType w:val="multilevel"/>
    <w:tmpl w:val="8138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95"/>
    <w:rsid w:val="004E6E95"/>
    <w:rsid w:val="006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6812"/>
  <w15:chartTrackingRefBased/>
  <w15:docId w15:val="{81E2B229-1809-4284-85E6-43F0A46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6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6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6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6E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6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6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6E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6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E6E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6E9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6E95"/>
    <w:rPr>
      <w:b/>
      <w:bCs/>
    </w:rPr>
  </w:style>
  <w:style w:type="character" w:customStyle="1" w:styleId="postedby">
    <w:name w:val="postedby"/>
    <w:basedOn w:val="a0"/>
    <w:rsid w:val="004E6E95"/>
  </w:style>
  <w:style w:type="character" w:customStyle="1" w:styleId="filedto">
    <w:name w:val="filedto"/>
    <w:basedOn w:val="a0"/>
    <w:rsid w:val="004E6E95"/>
  </w:style>
  <w:style w:type="character" w:customStyle="1" w:styleId="rss">
    <w:name w:val="rss"/>
    <w:basedOn w:val="a0"/>
    <w:rsid w:val="004E6E95"/>
  </w:style>
  <w:style w:type="character" w:customStyle="1" w:styleId="page-numbers">
    <w:name w:val="page-numbers"/>
    <w:basedOn w:val="a0"/>
    <w:rsid w:val="004E6E95"/>
  </w:style>
  <w:style w:type="paragraph" w:customStyle="1" w:styleId="comment">
    <w:name w:val="comment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4E6E95"/>
    <w:rPr>
      <w:i/>
      <w:iCs/>
    </w:rPr>
  </w:style>
  <w:style w:type="character" w:customStyle="1" w:styleId="says">
    <w:name w:val="says"/>
    <w:basedOn w:val="a0"/>
    <w:rsid w:val="004E6E9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6E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6E9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4E6E95"/>
  </w:style>
  <w:style w:type="character" w:styleId="a7">
    <w:name w:val="Emphasis"/>
    <w:basedOn w:val="a0"/>
    <w:uiPriority w:val="20"/>
    <w:qFormat/>
    <w:rsid w:val="004E6E95"/>
    <w:rPr>
      <w:i/>
      <w:iCs/>
    </w:rPr>
  </w:style>
  <w:style w:type="paragraph" w:customStyle="1" w:styleId="comment-form-comment">
    <w:name w:val="comment-form-comment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6E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6E9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ategories">
    <w:name w:val="categories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item">
    <w:name w:val="cat-item"/>
    <w:basedOn w:val="a"/>
    <w:rsid w:val="004E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4E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503">
                  <w:marLeft w:val="0"/>
                  <w:marRight w:val="0"/>
                  <w:marTop w:val="0"/>
                  <w:marBottom w:val="720"/>
                  <w:divBdr>
                    <w:top w:val="dotted" w:sz="6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41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78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9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1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6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6687">
              <w:marLeft w:val="300"/>
              <w:marRight w:val="0"/>
              <w:marTop w:val="0"/>
              <w:marBottom w:val="0"/>
              <w:divBdr>
                <w:top w:val="dashed" w:sz="6" w:space="6" w:color="CCCCCC"/>
                <w:left w:val="dashed" w:sz="6" w:space="12" w:color="CCCCCC"/>
                <w:bottom w:val="dashed" w:sz="6" w:space="24" w:color="CCCCCC"/>
                <w:right w:val="dashed" w:sz="6" w:space="2" w:color="CCCCCC"/>
              </w:divBdr>
            </w:div>
            <w:div w:id="3463742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013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2021-05-27T15:56:00Z</dcterms:created>
  <dcterms:modified xsi:type="dcterms:W3CDTF">2021-05-27T16:00:00Z</dcterms:modified>
</cp:coreProperties>
</file>